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Call-Off Contract is awarded</w:t>
      </w:r>
    </w:p>
    <w:p w:rsidR="00000000" w:rsidDel="00000000" w:rsidP="00000000" w:rsidRDefault="00000000" w:rsidRPr="00000000" w14:paraId="00000004">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6">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07">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8">
      <w:pPr>
        <w:widowControl w:val="1"/>
        <w:pBdr>
          <w:top w:space="0" w:sz="0" w:val="nil"/>
          <w:left w:space="0" w:sz="0" w:val="nil"/>
          <w:bottom w:space="0" w:sz="0" w:val="nil"/>
          <w:right w:space="0" w:sz="0" w:val="nil"/>
          <w:between w:space="0" w:sz="0" w:val="nil"/>
        </w:pBdr>
        <w:tabs>
          <w:tab w:val="left" w:leader="none"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9">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A">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B">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tabs>
          <w:tab w:val="left" w:leader="none"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D">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direct award works</w:t>
      </w:r>
    </w:p>
    <w:p w:rsidR="00000000" w:rsidDel="00000000" w:rsidP="00000000" w:rsidRDefault="00000000" w:rsidRPr="00000000" w14:paraId="0000000E">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0F">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 a clear Statement of Requirements;</w:t>
      </w:r>
    </w:p>
    <w:p w:rsidR="00000000" w:rsidDel="00000000" w:rsidP="00000000" w:rsidRDefault="00000000" w:rsidRPr="00000000" w14:paraId="00000010">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rsidR="00000000" w:rsidDel="00000000" w:rsidP="00000000" w:rsidRDefault="00000000" w:rsidRPr="00000000" w14:paraId="00000011">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98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14">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5">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16">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17">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18">
      <w:pPr>
        <w:keepNext w:val="1"/>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9">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1A">
      <w:pPr>
        <w:keepNext w:val="1"/>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1B">
      <w:pPr>
        <w:widowControl w:val="1"/>
        <w:numPr>
          <w:ilvl w:val="4"/>
          <w:numId w:val="2"/>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1C">
      <w:pPr>
        <w:widowControl w:val="1"/>
        <w:numPr>
          <w:ilvl w:val="4"/>
          <w:numId w:val="2"/>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1D">
      <w:pPr>
        <w:widowControl w:val="1"/>
        <w:numPr>
          <w:ilvl w:val="4"/>
          <w:numId w:val="2"/>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1E">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1F">
      <w:pPr>
        <w:keepNext w:val="1"/>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0">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21">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22">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23">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4">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25">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6">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7">
      <w:pPr>
        <w:widowControl w:val="1"/>
        <w:pBdr>
          <w:top w:space="0" w:sz="0" w:val="nil"/>
          <w:left w:space="0" w:sz="0" w:val="nil"/>
          <w:bottom w:space="0" w:sz="0" w:val="nil"/>
          <w:right w:space="0" w:sz="0" w:val="nil"/>
          <w:between w:space="0" w:sz="0" w:val="nil"/>
        </w:pBdr>
        <w:tabs>
          <w:tab w:val="left" w:leader="none"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29">
      <w:pPr>
        <w:keepNext w:val="1"/>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A">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2B">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2C">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2D">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E">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2F">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30">
      <w:pPr>
        <w:keepNext w:val="1"/>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31">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2">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3">
      <w:pPr>
        <w:widowControl w:val="1"/>
        <w:numPr>
          <w:ilvl w:val="4"/>
          <w:numId w:val="2"/>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4">
      <w:pPr>
        <w:widowControl w:val="1"/>
        <w:numPr>
          <w:ilvl w:val="4"/>
          <w:numId w:val="2"/>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5">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6">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7">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38">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9">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3A">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3B">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3C">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3D">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3E">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3F">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0">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e-auctions work</w:t>
      </w:r>
      <w:r w:rsidDel="00000000" w:rsidR="00000000" w:rsidRPr="00000000">
        <w:rPr>
          <w:rtl w:val="0"/>
        </w:rPr>
      </w:r>
    </w:p>
    <w:p w:rsidR="00000000" w:rsidDel="00000000" w:rsidP="00000000" w:rsidRDefault="00000000" w:rsidRPr="00000000" w14:paraId="00000041">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42">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43">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p>
    <w:p w:rsidR="00000000" w:rsidDel="00000000" w:rsidP="00000000" w:rsidRDefault="00000000" w:rsidRPr="00000000" w14:paraId="00000044">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p>
    <w:p w:rsidR="00000000" w:rsidDel="00000000" w:rsidP="00000000" w:rsidRDefault="00000000" w:rsidRPr="00000000" w14:paraId="00000045">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p>
    <w:p w:rsidR="00000000" w:rsidDel="00000000" w:rsidP="00000000" w:rsidRDefault="00000000" w:rsidRPr="00000000" w14:paraId="00000046">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limits on the values which may be submitted;</w:t>
      </w:r>
    </w:p>
    <w:p w:rsidR="00000000" w:rsidDel="00000000" w:rsidP="00000000" w:rsidRDefault="00000000" w:rsidRPr="00000000" w14:paraId="00000047">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48">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49">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p>
    <w:p w:rsidR="00000000" w:rsidDel="00000000" w:rsidP="00000000" w:rsidRDefault="00000000" w:rsidRPr="00000000" w14:paraId="0000004A">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7.5, the date and time of the start of the Electronic Reverse Auction; and</w:t>
      </w:r>
    </w:p>
    <w:p w:rsidR="00000000" w:rsidDel="00000000" w:rsidP="00000000" w:rsidRDefault="00000000" w:rsidRPr="00000000" w14:paraId="0000004B">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when and how the Electronic Reverse Auction will close.</w:t>
      </w:r>
    </w:p>
    <w:p w:rsidR="00000000" w:rsidDel="00000000" w:rsidP="00000000" w:rsidRDefault="00000000" w:rsidRPr="00000000" w14:paraId="0000004C">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4D">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4E">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and agrees that:</w:t>
      </w:r>
    </w:p>
    <w:p w:rsidR="00000000" w:rsidDel="00000000" w:rsidP="00000000" w:rsidRDefault="00000000" w:rsidRPr="00000000" w14:paraId="0000004F">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50">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p>
    <w:p w:rsidR="00000000" w:rsidDel="00000000" w:rsidP="00000000" w:rsidRDefault="00000000" w:rsidRPr="00000000" w14:paraId="00000051">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p>
    <w:p w:rsidR="00000000" w:rsidDel="00000000" w:rsidP="00000000" w:rsidRDefault="00000000" w:rsidRPr="00000000" w14:paraId="00000052">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close the Electronic Reverse Auction on the basis of:</w:t>
      </w:r>
    </w:p>
    <w:p w:rsidR="00000000" w:rsidDel="00000000" w:rsidP="00000000" w:rsidRDefault="00000000" w:rsidRPr="00000000" w14:paraId="00000053">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date and time fixed in advance;</w:t>
      </w:r>
    </w:p>
    <w:p w:rsidR="00000000" w:rsidDel="00000000" w:rsidP="00000000" w:rsidRDefault="00000000" w:rsidRPr="00000000" w14:paraId="00000054">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55">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all the phases have been completed.]</w:t>
      </w:r>
    </w:p>
    <w:p w:rsidR="00000000" w:rsidDel="00000000" w:rsidP="00000000" w:rsidRDefault="00000000" w:rsidRPr="00000000" w14:paraId="00000056">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p>
    <w:p w:rsidR="00000000" w:rsidDel="00000000" w:rsidP="00000000" w:rsidRDefault="00000000" w:rsidRPr="00000000" w14:paraId="00000057">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58">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59">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5A">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5B">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5C">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5E">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5F">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60">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63">
      <w:pPr>
        <w:widowControl w:val="1"/>
        <w:numPr>
          <w:ilvl w:val="0"/>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64">
      <w:pPr>
        <w:widowControl w:val="1"/>
        <w:numPr>
          <w:ilvl w:val="0"/>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p>
    <w:p w:rsidR="00000000" w:rsidDel="00000000" w:rsidP="00000000" w:rsidRDefault="00000000" w:rsidRPr="00000000" w14:paraId="00000065">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6">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p w:rsidR="00000000" w:rsidDel="00000000" w:rsidP="00000000" w:rsidRDefault="00000000" w:rsidRPr="00000000" w14:paraId="00000068">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The Direct Award Criteria applied to the tenders of those Suppliers appointed to this Framework Contract shall be as follows: Criteria Value for money: e.g. the Buyer believes that the Supplier provides demonstrable value for money, which may include but is not limited to:</w:t>
      </w:r>
    </w:p>
    <w:p w:rsidR="00000000" w:rsidDel="00000000" w:rsidP="00000000" w:rsidRDefault="00000000" w:rsidRPr="00000000" w14:paraId="00000069">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Cost effectiveness</w:t>
      </w:r>
    </w:p>
    <w:p w:rsidR="00000000" w:rsidDel="00000000" w:rsidP="00000000" w:rsidRDefault="00000000" w:rsidRPr="00000000" w14:paraId="0000006A">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Price</w:t>
      </w:r>
    </w:p>
    <w:p w:rsidR="00000000" w:rsidDel="00000000" w:rsidP="00000000" w:rsidRDefault="00000000" w:rsidRPr="00000000" w14:paraId="0000006B">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Quality</w:t>
      </w:r>
    </w:p>
    <w:p w:rsidR="00000000" w:rsidDel="00000000" w:rsidP="00000000" w:rsidRDefault="00000000" w:rsidRPr="00000000" w14:paraId="0000006C">
      <w:pPr>
        <w:widowControl w:val="1"/>
        <w:tabs>
          <w:tab w:val="left" w:leader="none" w:pos="851"/>
        </w:tabs>
        <w:spacing w:after="240" w:lineRule="auto"/>
        <w:ind w:lef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the customer may agree with the supplier what they can and will do to help work towards the social value priorities set out in the framework specification. </w:t>
      </w:r>
    </w:p>
    <w:p w:rsidR="00000000" w:rsidDel="00000000" w:rsidP="00000000" w:rsidRDefault="00000000" w:rsidRPr="00000000" w14:paraId="0000006D">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6F">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p w:rsidR="00000000" w:rsidDel="00000000" w:rsidP="00000000" w:rsidRDefault="00000000" w:rsidRPr="00000000" w14:paraId="00000071">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criteria and weightings shall apply to the evaluation of tenders received through the Further Competition Procedure:</w:t>
      </w:r>
    </w:p>
    <w:tbl>
      <w:tblPr>
        <w:tblStyle w:val="Table1"/>
        <w:tblW w:w="84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40"/>
        <w:gridCol w:w="4005"/>
        <w:gridCol w:w="3015"/>
        <w:tblGridChange w:id="0">
          <w:tblGrid>
            <w:gridCol w:w="1440"/>
            <w:gridCol w:w="4005"/>
            <w:gridCol w:w="3015"/>
          </w:tblGrid>
        </w:tblGridChange>
      </w:tblGrid>
      <w:tr>
        <w:trPr>
          <w:cantSplit w:val="0"/>
          <w:trHeight w:val="1730" w:hRule="atLeast"/>
          <w:tblHeader w:val="0"/>
        </w:trPr>
        <w:tc>
          <w:tcPr>
            <w:tcBorders>
              <w:top w:color="000000" w:space="0" w:sz="8" w:val="single"/>
              <w:left w:color="000000" w:space="0" w:sz="8" w:val="single"/>
              <w:bottom w:color="000000" w:space="0" w:sz="8" w:val="single"/>
              <w:right w:color="000000" w:space="0" w:sz="8" w:val="single"/>
            </w:tcBorders>
            <w:shd w:fill="e7e6e6" w:val="clear"/>
            <w:tcMar>
              <w:top w:w="100.0" w:type="dxa"/>
              <w:left w:w="120.0" w:type="dxa"/>
              <w:bottom w:w="100.0" w:type="dxa"/>
              <w:right w:w="100.0" w:type="dxa"/>
            </w:tcMar>
            <w:vAlign w:val="top"/>
          </w:tcPr>
          <w:p w:rsidR="00000000" w:rsidDel="00000000" w:rsidP="00000000" w:rsidRDefault="00000000" w:rsidRPr="00000000" w14:paraId="00000072">
            <w:pPr>
              <w:widowControl w:val="1"/>
              <w:tabs>
                <w:tab w:val="left" w:leader="none" w:pos="851"/>
              </w:tabs>
              <w:spacing w:after="120" w:before="120" w:lineRule="auto"/>
              <w:jc w:val="both"/>
              <w:rPr>
                <w:rFonts w:ascii="Arial" w:cs="Arial" w:eastAsia="Arial" w:hAnsi="Arial"/>
                <w:b w:val="1"/>
              </w:rPr>
            </w:pPr>
            <w:r w:rsidDel="00000000" w:rsidR="00000000" w:rsidRPr="00000000">
              <w:rPr>
                <w:rFonts w:ascii="Arial" w:cs="Arial" w:eastAsia="Arial" w:hAnsi="Arial"/>
                <w:b w:val="1"/>
                <w:rtl w:val="0"/>
              </w:rPr>
              <w:t xml:space="preserve">Criteria</w:t>
            </w:r>
          </w:p>
        </w:tc>
        <w:tc>
          <w:tcPr>
            <w:tcBorders>
              <w:top w:color="000000" w:space="0" w:sz="8" w:val="single"/>
              <w:left w:color="000000" w:space="0" w:sz="0" w:val="nil"/>
              <w:bottom w:color="000000" w:space="0" w:sz="8" w:val="single"/>
              <w:right w:color="000000" w:space="0" w:sz="8" w:val="single"/>
            </w:tcBorders>
            <w:shd w:fill="e7e6e6" w:val="clear"/>
            <w:tcMar>
              <w:top w:w="100.0" w:type="dxa"/>
              <w:left w:w="120.0" w:type="dxa"/>
              <w:bottom w:w="100.0" w:type="dxa"/>
              <w:right w:w="100.0" w:type="dxa"/>
            </w:tcMar>
            <w:vAlign w:val="top"/>
          </w:tcPr>
          <w:p w:rsidR="00000000" w:rsidDel="00000000" w:rsidP="00000000" w:rsidRDefault="00000000" w:rsidRPr="00000000" w14:paraId="00000073">
            <w:pPr>
              <w:widowControl w:val="1"/>
              <w:tabs>
                <w:tab w:val="left" w:leader="none" w:pos="851"/>
              </w:tabs>
              <w:spacing w:after="120" w:before="120" w:lineRule="auto"/>
              <w:jc w:val="both"/>
              <w:rPr>
                <w:rFonts w:ascii="Arial" w:cs="Arial" w:eastAsia="Arial" w:hAnsi="Arial"/>
                <w:b w:val="1"/>
              </w:rPr>
            </w:pPr>
            <w:r w:rsidDel="00000000" w:rsidR="00000000" w:rsidRPr="00000000">
              <w:rPr>
                <w:rFonts w:ascii="Arial" w:cs="Arial" w:eastAsia="Arial" w:hAnsi="Arial"/>
                <w:b w:val="1"/>
                <w:rtl w:val="0"/>
              </w:rPr>
              <w:t xml:space="preserve">Percentage Weightings (or rank order of importance where applicable) - to be set by the Customer conducting the Further Competition Procedure</w:t>
            </w:r>
          </w:p>
        </w:tc>
        <w:tc>
          <w:tcPr>
            <w:tcBorders>
              <w:top w:color="000000" w:space="0" w:sz="8" w:val="single"/>
              <w:left w:color="000000" w:space="0" w:sz="0" w:val="nil"/>
              <w:bottom w:color="000000" w:space="0" w:sz="8" w:val="single"/>
              <w:right w:color="000000" w:space="0" w:sz="8" w:val="single"/>
            </w:tcBorders>
            <w:shd w:fill="e7e6e6" w:val="clear"/>
            <w:tcMar>
              <w:top w:w="100.0" w:type="dxa"/>
              <w:left w:w="120.0" w:type="dxa"/>
              <w:bottom w:w="100.0" w:type="dxa"/>
              <w:right w:w="100.0" w:type="dxa"/>
            </w:tcMar>
            <w:vAlign w:val="top"/>
          </w:tcPr>
          <w:p w:rsidR="00000000" w:rsidDel="00000000" w:rsidP="00000000" w:rsidRDefault="00000000" w:rsidRPr="00000000" w14:paraId="00000074">
            <w:pPr>
              <w:widowControl w:val="1"/>
              <w:tabs>
                <w:tab w:val="left" w:leader="none" w:pos="851"/>
              </w:tabs>
              <w:spacing w:after="240" w:lineRule="auto"/>
              <w:jc w:val="both"/>
              <w:rPr>
                <w:rFonts w:ascii="Arial" w:cs="Arial" w:eastAsia="Arial" w:hAnsi="Arial"/>
                <w:b w:val="1"/>
              </w:rPr>
            </w:pPr>
            <w:r w:rsidDel="00000000" w:rsidR="00000000" w:rsidRPr="00000000">
              <w:rPr>
                <w:rFonts w:ascii="Arial" w:cs="Arial" w:eastAsia="Arial" w:hAnsi="Arial"/>
                <w:b w:val="1"/>
                <w:rtl w:val="0"/>
              </w:rPr>
              <w:t xml:space="preserve">Allowable Variance</w:t>
            </w:r>
          </w:p>
          <w:p w:rsidR="00000000" w:rsidDel="00000000" w:rsidP="00000000" w:rsidRDefault="00000000" w:rsidRPr="00000000" w14:paraId="00000075">
            <w:pPr>
              <w:widowControl w:val="1"/>
              <w:tabs>
                <w:tab w:val="left" w:leader="none" w:pos="851"/>
              </w:tabs>
              <w:spacing w:after="240" w:lineRule="auto"/>
              <w:jc w:val="both"/>
              <w:rPr>
                <w:rFonts w:ascii="Arial" w:cs="Arial" w:eastAsia="Arial" w:hAnsi="Arial"/>
                <w:b w:val="1"/>
              </w:rPr>
            </w:pPr>
            <w:r w:rsidDel="00000000" w:rsidR="00000000" w:rsidRPr="00000000">
              <w:rPr>
                <w:rFonts w:ascii="Arial" w:cs="Arial" w:eastAsia="Arial" w:hAnsi="Arial"/>
                <w:b w:val="1"/>
                <w:rtl w:val="0"/>
              </w:rPr>
              <w:t xml:space="preserve">(This may be modified by the Customer within the range below)</w:t>
            </w:r>
          </w:p>
        </w:tc>
      </w:tr>
      <w:tr>
        <w:trPr>
          <w:cantSplit w:val="0"/>
          <w:trHeight w:val="836.953125" w:hRule="atLeast"/>
          <w:tblHeader w:val="0"/>
        </w:trPr>
        <w:tc>
          <w:tcPr>
            <w:tcBorders>
              <w:top w:color="000000" w:space="0" w:sz="0" w:val="nil"/>
              <w:left w:color="000000" w:space="0" w:sz="8" w:val="single"/>
              <w:bottom w:color="000000" w:space="0" w:sz="8" w:val="single"/>
              <w:right w:color="000000" w:space="0" w:sz="8" w:val="single"/>
            </w:tcBorders>
            <w:tcMar>
              <w:top w:w="100.0" w:type="dxa"/>
              <w:left w:w="120.0" w:type="dxa"/>
              <w:bottom w:w="100.0" w:type="dxa"/>
              <w:right w:w="100.0" w:type="dxa"/>
            </w:tcMar>
            <w:vAlign w:val="top"/>
          </w:tcPr>
          <w:p w:rsidR="00000000" w:rsidDel="00000000" w:rsidP="00000000" w:rsidRDefault="00000000" w:rsidRPr="00000000" w14:paraId="00000076">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Quality *</w:t>
            </w:r>
          </w:p>
        </w:tc>
        <w:tc>
          <w:tcPr>
            <w:tcBorders>
              <w:top w:color="000000" w:space="0" w:sz="0" w:val="nil"/>
              <w:left w:color="000000" w:space="0" w:sz="0" w:val="nil"/>
              <w:bottom w:color="000000" w:space="0" w:sz="8" w:val="single"/>
              <w:right w:color="000000" w:space="0" w:sz="8" w:val="single"/>
            </w:tcBorders>
            <w:tcMar>
              <w:top w:w="100.0" w:type="dxa"/>
              <w:left w:w="120.0" w:type="dxa"/>
              <w:bottom w:w="100.0" w:type="dxa"/>
              <w:right w:w="100.0" w:type="dxa"/>
            </w:tcMar>
            <w:vAlign w:val="top"/>
          </w:tcPr>
          <w:p w:rsidR="00000000" w:rsidDel="00000000" w:rsidP="00000000" w:rsidRDefault="00000000" w:rsidRPr="00000000" w14:paraId="00000077">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80% </w:t>
            </w:r>
          </w:p>
        </w:tc>
        <w:tc>
          <w:tcPr>
            <w:tcBorders>
              <w:top w:color="000000" w:space="0" w:sz="0" w:val="nil"/>
              <w:left w:color="000000" w:space="0" w:sz="0" w:val="nil"/>
              <w:bottom w:color="000000" w:space="0" w:sz="8" w:val="single"/>
              <w:right w:color="000000" w:space="0" w:sz="8" w:val="single"/>
            </w:tcBorders>
            <w:tcMar>
              <w:top w:w="100.0" w:type="dxa"/>
              <w:left w:w="120.0" w:type="dxa"/>
              <w:bottom w:w="100.0" w:type="dxa"/>
              <w:right w:w="100.0" w:type="dxa"/>
            </w:tcMar>
            <w:vAlign w:val="top"/>
          </w:tcPr>
          <w:p w:rsidR="00000000" w:rsidDel="00000000" w:rsidP="00000000" w:rsidRDefault="00000000" w:rsidRPr="00000000" w14:paraId="00000078">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+/- 10% (70% to 90%)</w:t>
            </w:r>
          </w:p>
          <w:p w:rsidR="00000000" w:rsidDel="00000000" w:rsidP="00000000" w:rsidRDefault="00000000" w:rsidRPr="00000000" w14:paraId="00000079">
            <w:pPr>
              <w:widowControl w:val="1"/>
              <w:tabs>
                <w:tab w:val="left" w:leader="none" w:pos="851"/>
              </w:tabs>
              <w:spacing w:after="240" w:lineRule="auto"/>
              <w:jc w:val="both"/>
              <w:rPr>
                <w:rFonts w:ascii="Arial" w:cs="Arial" w:eastAsia="Arial" w:hAnsi="Arial"/>
                <w:sz w:val="24"/>
                <w:szCs w:val="24"/>
              </w:rPr>
            </w:pPr>
            <w:r w:rsidDel="00000000" w:rsidR="00000000" w:rsidRPr="00000000">
              <w:rPr>
                <w:rtl w:val="0"/>
              </w:rPr>
            </w:r>
          </w:p>
        </w:tc>
      </w:tr>
      <w:tr>
        <w:trPr>
          <w:cantSplit w:val="0"/>
          <w:trHeight w:val="585" w:hRule="atLeast"/>
          <w:tblHeader w:val="0"/>
        </w:trPr>
        <w:tc>
          <w:tcPr>
            <w:tcBorders>
              <w:top w:color="000000" w:space="0" w:sz="0" w:val="nil"/>
              <w:left w:color="000000" w:space="0" w:sz="8" w:val="single"/>
              <w:bottom w:color="000000" w:space="0" w:sz="8" w:val="single"/>
              <w:right w:color="000000" w:space="0" w:sz="8" w:val="single"/>
            </w:tcBorders>
            <w:tcMar>
              <w:top w:w="100.0" w:type="dxa"/>
              <w:left w:w="120.0" w:type="dxa"/>
              <w:bottom w:w="100.0" w:type="dxa"/>
              <w:right w:w="100.0" w:type="dxa"/>
            </w:tcMar>
            <w:vAlign w:val="top"/>
          </w:tcPr>
          <w:p w:rsidR="00000000" w:rsidDel="00000000" w:rsidP="00000000" w:rsidRDefault="00000000" w:rsidRPr="00000000" w14:paraId="0000007A">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Price</w:t>
            </w:r>
          </w:p>
        </w:tc>
        <w:tc>
          <w:tcPr>
            <w:tcBorders>
              <w:top w:color="000000" w:space="0" w:sz="0" w:val="nil"/>
              <w:left w:color="000000" w:space="0" w:sz="0" w:val="nil"/>
              <w:bottom w:color="000000" w:space="0" w:sz="8" w:val="single"/>
              <w:right w:color="000000" w:space="0" w:sz="8" w:val="single"/>
            </w:tcBorders>
            <w:tcMar>
              <w:top w:w="100.0" w:type="dxa"/>
              <w:left w:w="120.0" w:type="dxa"/>
              <w:bottom w:w="100.0" w:type="dxa"/>
              <w:right w:w="100.0" w:type="dxa"/>
            </w:tcMar>
            <w:vAlign w:val="top"/>
          </w:tcPr>
          <w:p w:rsidR="00000000" w:rsidDel="00000000" w:rsidP="00000000" w:rsidRDefault="00000000" w:rsidRPr="00000000" w14:paraId="0000007B">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 </w:t>
            </w:r>
          </w:p>
        </w:tc>
        <w:tc>
          <w:tcPr>
            <w:tcBorders>
              <w:top w:color="000000" w:space="0" w:sz="0" w:val="nil"/>
              <w:left w:color="000000" w:space="0" w:sz="0" w:val="nil"/>
              <w:bottom w:color="000000" w:space="0" w:sz="8" w:val="single"/>
              <w:right w:color="000000" w:space="0" w:sz="8" w:val="single"/>
            </w:tcBorders>
            <w:tcMar>
              <w:top w:w="100.0" w:type="dxa"/>
              <w:left w:w="120.0" w:type="dxa"/>
              <w:bottom w:w="100.0" w:type="dxa"/>
              <w:right w:w="100.0" w:type="dxa"/>
            </w:tcMar>
            <w:vAlign w:val="top"/>
          </w:tcPr>
          <w:p w:rsidR="00000000" w:rsidDel="00000000" w:rsidP="00000000" w:rsidRDefault="00000000" w:rsidRPr="00000000" w14:paraId="0000007C">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+/- 10% (1</w:t>
            </w:r>
            <w:r w:rsidDel="00000000" w:rsidR="00000000" w:rsidRPr="00000000">
              <w:rPr>
                <w:rFonts w:ascii="Arial" w:cs="Arial" w:eastAsia="Arial" w:hAnsi="Arial"/>
                <w:sz w:val="24"/>
                <w:szCs w:val="24"/>
                <w:rtl w:val="0"/>
              </w:rPr>
              <w:t xml:space="preserve">0</w:t>
            </w:r>
            <w:r w:rsidDel="00000000" w:rsidR="00000000" w:rsidRPr="00000000">
              <w:rPr>
                <w:rFonts w:ascii="Arial" w:cs="Arial" w:eastAsia="Arial" w:hAnsi="Arial"/>
                <w:sz w:val="24"/>
                <w:szCs w:val="24"/>
                <w:rtl w:val="0"/>
              </w:rPr>
              <w:t xml:space="preserve">% to 30%)</w:t>
            </w:r>
          </w:p>
          <w:p w:rsidR="00000000" w:rsidDel="00000000" w:rsidP="00000000" w:rsidRDefault="00000000" w:rsidRPr="00000000" w14:paraId="0000007D">
            <w:pPr>
              <w:widowControl w:val="1"/>
              <w:tabs>
                <w:tab w:val="left" w:leader="none" w:pos="851"/>
              </w:tabs>
              <w:jc w:val="both"/>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E">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7F">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*may include social value</w:t>
      </w:r>
    </w:p>
    <w:p w:rsidR="00000000" w:rsidDel="00000000" w:rsidP="00000000" w:rsidRDefault="00000000" w:rsidRPr="00000000" w14:paraId="00000080">
      <w:pPr>
        <w:widowControl w:val="1"/>
        <w:tabs>
          <w:tab w:val="left" w:leader="none"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w:t>
      <w:tab/>
      <w:t xml:space="preserve">                                           </w:t>
    </w:r>
  </w:p>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C">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bookmarkStart w:colFirst="0" w:colLast="0" w:name="_heading=h.gjdgxs" w:id="12"/>
    <w:bookmarkEnd w:id="12"/>
    <w:r w:rsidDel="00000000" w:rsidR="00000000" w:rsidRPr="00000000">
      <w:rPr>
        <w:rFonts w:ascii="Arial" w:cs="Arial" w:eastAsia="Arial" w:hAnsi="Arial"/>
        <w:sz w:val="20"/>
        <w:szCs w:val="20"/>
        <w:rtl w:val="0"/>
      </w:rPr>
      <w:t xml:space="preserve">Model Version : v3.3</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p w:rsidR="00000000" w:rsidDel="00000000" w:rsidP="00000000" w:rsidRDefault="00000000" w:rsidRPr="00000000" w14:paraId="0000008F">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90">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1">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2">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pPr>
      <w:numPr>
        <w:numId w:val="17"/>
      </w:numPr>
    </w:pPr>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3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15"/>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15"/>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15"/>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MvW6N4dtcO1uVIjzSYvygy6RrdQ==">AMUW2mWIuWTJyn2d7MT4A7Pmx/RTbRGT8iw7YRBdV1aGvsGAyznIuI14em5AfBRiK+cmNyf2YrLNgfBaExt8G4I/UKTECC0IwnegMNVcWAfYRcQrtykzfIswGH81U2QkK5FlRXYXZewbuBDcLGyL5G75cEJst9TzWdci0swyIFlHobsP0Z7uCWD+kOxt2zU2miUYZQEcyzC8o89y3m4P6esm8BYHRg4gLb1+gs4FvdbsvgFqfg/pGIfdfwy6225E/mtSGJ7pbFfRRSCftgHUuHXfcsZ6ES+iUloGvXGjyAigoNahkEWOzf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2020-10-15T09:02:00Z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